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911F33" w:rsidRDefault="00CD36CF" w:rsidP="0060106F">
      <w:pPr>
        <w:pStyle w:val="TitlePageOrigin"/>
      </w:pPr>
      <w:r w:rsidRPr="00911F33">
        <w:t>WEST virginia legislature</w:t>
      </w:r>
    </w:p>
    <w:p w14:paraId="15DF4F5B" w14:textId="7FFDA58C" w:rsidR="00CD36CF" w:rsidRPr="00911F33" w:rsidRDefault="00CD36CF" w:rsidP="0060106F">
      <w:pPr>
        <w:pStyle w:val="TitlePageSession"/>
      </w:pPr>
      <w:r w:rsidRPr="00911F33">
        <w:t>20</w:t>
      </w:r>
      <w:r w:rsidR="00A02BCE" w:rsidRPr="00911F33">
        <w:t>2</w:t>
      </w:r>
      <w:r w:rsidR="003C7D27" w:rsidRPr="00911F33">
        <w:t>1</w:t>
      </w:r>
      <w:r w:rsidRPr="00911F33">
        <w:t xml:space="preserve"> regular session</w:t>
      </w:r>
    </w:p>
    <w:p w14:paraId="32F411DA" w14:textId="77777777" w:rsidR="00CD36CF" w:rsidRPr="00911F33" w:rsidRDefault="007B622D" w:rsidP="0060106F">
      <w:pPr>
        <w:pStyle w:val="TitlePageBillPrefix"/>
      </w:pPr>
      <w:sdt>
        <w:sdtPr>
          <w:tag w:val="IntroDate"/>
          <w:id w:val="-1236936958"/>
          <w:placeholder>
            <w:docPart w:val="E080D1BC4AB44455B45A642E5D4FEE3C"/>
          </w:placeholder>
          <w:text/>
        </w:sdtPr>
        <w:sdtEndPr/>
        <w:sdtContent>
          <w:r w:rsidR="00E379D8" w:rsidRPr="00911F33">
            <w:t>Originating</w:t>
          </w:r>
        </w:sdtContent>
      </w:sdt>
    </w:p>
    <w:p w14:paraId="585DB016" w14:textId="5ED6FBC6" w:rsidR="00CD36CF" w:rsidRPr="00911F33" w:rsidRDefault="007B622D"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911F33">
            <w:t>House</w:t>
          </w:r>
        </w:sdtContent>
      </w:sdt>
      <w:r w:rsidR="00303684" w:rsidRPr="00911F33">
        <w:t xml:space="preserve"> </w:t>
      </w:r>
      <w:r w:rsidR="00E379D8" w:rsidRPr="00911F33">
        <w:t>Bill</w:t>
      </w:r>
      <w:r w:rsidR="00727C3D" w:rsidRPr="00911F33">
        <w:t xml:space="preserve"> </w:t>
      </w:r>
      <w:sdt>
        <w:sdtPr>
          <w:tag w:val="BNum"/>
          <w:id w:val="-544526420"/>
          <w:lock w:val="sdtLocked"/>
          <w:placeholder>
            <w:docPart w:val="3D1C293E01CE458C85333A7775D34E4C"/>
          </w:placeholder>
          <w:text/>
        </w:sdtPr>
        <w:sdtEndPr/>
        <w:sdtContent>
          <w:r w:rsidR="00364DC0" w:rsidRPr="00911F33">
            <w:t>3293</w:t>
          </w:r>
        </w:sdtContent>
      </w:sdt>
    </w:p>
    <w:p w14:paraId="1D39184E" w14:textId="541EF5DF" w:rsidR="00CD36CF" w:rsidRPr="00911F33" w:rsidRDefault="00CD36CF" w:rsidP="0060106F">
      <w:pPr>
        <w:pStyle w:val="Sponsors"/>
      </w:pPr>
      <w:r w:rsidRPr="00911F33">
        <w:t xml:space="preserve">By </w:t>
      </w:r>
      <w:sdt>
        <w:sdtPr>
          <w:tag w:val="Sponsors"/>
          <w:id w:val="1589585889"/>
          <w:placeholder>
            <w:docPart w:val="C3BC77CDB9AA4D9F9EF09D212378EA34"/>
          </w:placeholder>
          <w:text w:multiLine="1"/>
        </w:sdtPr>
        <w:sdtEndPr/>
        <w:sdtContent>
          <w:r w:rsidR="00D60110" w:rsidRPr="00911F33">
            <w:t>Delegates Hanna, Bridges, Clark, ellington, Horst, Jennings, Longanacre, Mazzocchi</w:t>
          </w:r>
          <w:r w:rsidR="00194F34">
            <w:t xml:space="preserve">, </w:t>
          </w:r>
          <w:r w:rsidR="00D60110" w:rsidRPr="00911F33">
            <w:t>tully</w:t>
          </w:r>
          <w:r w:rsidR="00194F34">
            <w:t xml:space="preserve"> and Phillips</w:t>
          </w:r>
          <w:r w:rsidR="007B622D">
            <w:t xml:space="preserve"> and Burkhammer</w:t>
          </w:r>
        </w:sdtContent>
      </w:sdt>
    </w:p>
    <w:p w14:paraId="326639C9" w14:textId="085A4C4B" w:rsidR="00E831B3" w:rsidRPr="00911F33" w:rsidRDefault="00CD36CF" w:rsidP="0060106F">
      <w:pPr>
        <w:pStyle w:val="References"/>
      </w:pPr>
      <w:r w:rsidRPr="00911F33">
        <w:t>[</w:t>
      </w:r>
      <w:r w:rsidR="00E379D8" w:rsidRPr="00911F33">
        <w:t xml:space="preserve">Originating in the Committee on </w:t>
      </w:r>
      <w:sdt>
        <w:sdtPr>
          <w:tag w:val="References"/>
          <w:id w:val="-1043047873"/>
          <w:placeholder>
            <w:docPart w:val="87A63BD28EA64813A51E4EE35BF29DFD"/>
          </w:placeholder>
          <w:text w:multiLine="1"/>
        </w:sdtPr>
        <w:sdtEndPr/>
        <w:sdtContent>
          <w:r w:rsidR="00DC092A" w:rsidRPr="00911F33">
            <w:t>Education</w:t>
          </w:r>
        </w:sdtContent>
      </w:sdt>
      <w:r w:rsidR="00E379D8" w:rsidRPr="00911F33">
        <w:t xml:space="preserve">; Reported on </w:t>
      </w:r>
      <w:sdt>
        <w:sdtPr>
          <w:id w:val="-566653316"/>
          <w:placeholder>
            <w:docPart w:val="673AC70E7FCD462F82CB9C01FD5D443F"/>
          </w:placeholder>
          <w:text/>
        </w:sdtPr>
        <w:sdtEndPr/>
        <w:sdtContent>
          <w:r w:rsidR="00DC092A" w:rsidRPr="00911F33">
            <w:t>March 16, 2021</w:t>
          </w:r>
        </w:sdtContent>
      </w:sdt>
      <w:r w:rsidRPr="00911F33">
        <w:t>]</w:t>
      </w:r>
    </w:p>
    <w:p w14:paraId="16C39882" w14:textId="25D075A3" w:rsidR="00303684" w:rsidRPr="00911F33" w:rsidRDefault="0000526A" w:rsidP="0060106F">
      <w:pPr>
        <w:pStyle w:val="TitleSection"/>
      </w:pPr>
      <w:r w:rsidRPr="00911F33">
        <w:lastRenderedPageBreak/>
        <w:t>A BILL</w:t>
      </w:r>
      <w:r w:rsidR="000953BA" w:rsidRPr="00911F33">
        <w:t xml:space="preserve"> to amend and reenact §18-2-5c and §18-2-25 of the Code of West Virginia, 1931, as amended, all relating to single-sex participation in interscholastic athletic events</w:t>
      </w:r>
      <w:r w:rsidR="007F1A01" w:rsidRPr="00911F33">
        <w:t>; providing that the birth certificate required for admission to public school confirm the pupil’s sex at time of birth, or in the alternative, that the pupil’s sex be identified by a signed physician’s statement; providing that the sex identified at the time of admission must be the pupil’s sex for the purposes of</w:t>
      </w:r>
      <w:r w:rsidR="002F25CC" w:rsidRPr="00911F33">
        <w:t xml:space="preserve"> </w:t>
      </w:r>
      <w:r w:rsidR="007F1A01" w:rsidRPr="00911F33">
        <w:t xml:space="preserve"> </w:t>
      </w:r>
      <w:r w:rsidR="002F25CC" w:rsidRPr="00911F33">
        <w:t>single-sex participation in interscholastic athletic events under the control, supervision, and regulation of the West Virginia Secondary Schools Activities Commission;</w:t>
      </w:r>
      <w:r w:rsidR="007F1A01" w:rsidRPr="00911F33">
        <w:t xml:space="preserve"> </w:t>
      </w:r>
      <w:r w:rsidR="002F25CC" w:rsidRPr="00911F33">
        <w:rPr>
          <w:rFonts w:cs="Times New Roman"/>
        </w:rPr>
        <w:t xml:space="preserve">providing that the commission </w:t>
      </w:r>
      <w:r w:rsidR="002F25CC" w:rsidRPr="00911F33">
        <w:t>must verify with each county board that each student participating in single-sex interscholastic events is participating according to the student’s sex at the time of the student's birth; and clarifying that these requirements do not apply to co-educational secondary school interscholastic athletic events.</w:t>
      </w:r>
    </w:p>
    <w:p w14:paraId="68BE6773" w14:textId="77777777" w:rsidR="00303684" w:rsidRPr="00911F33" w:rsidRDefault="00303684" w:rsidP="0060106F">
      <w:pPr>
        <w:pStyle w:val="EnactingClause"/>
        <w:sectPr w:rsidR="00303684" w:rsidRPr="00911F3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11F33">
        <w:t>Be it enacted by the Legislature of West Virginia:</w:t>
      </w:r>
    </w:p>
    <w:p w14:paraId="48F26C7B" w14:textId="63081357" w:rsidR="00DC092A" w:rsidRPr="00911F33" w:rsidRDefault="00DC092A" w:rsidP="00DC092A">
      <w:pPr>
        <w:widowControl w:val="0"/>
        <w:suppressLineNumbers/>
        <w:ind w:left="720" w:hanging="720"/>
        <w:jc w:val="both"/>
        <w:outlineLvl w:val="3"/>
        <w:rPr>
          <w:rFonts w:eastAsia="Calibri" w:cs="Times New Roman"/>
          <w:b/>
          <w:color w:val="000000"/>
        </w:rPr>
      </w:pPr>
      <w:r w:rsidRPr="00911F33">
        <w:rPr>
          <w:rFonts w:eastAsia="Calibri" w:cs="Times New Roman"/>
          <w:b/>
          <w:color w:val="000000"/>
        </w:rPr>
        <w:t>§18-2-5c. Birth certificate required upon admission to public school; required notice to local law-enforcement agency of missing children</w:t>
      </w:r>
      <w:r w:rsidR="00996DD9" w:rsidRPr="00911F33">
        <w:rPr>
          <w:rFonts w:eastAsia="Calibri" w:cs="Times New Roman"/>
          <w:b/>
          <w:color w:val="000000"/>
        </w:rPr>
        <w:t xml:space="preserve">; </w:t>
      </w:r>
      <w:r w:rsidR="00996DD9" w:rsidRPr="00911F33">
        <w:rPr>
          <w:rFonts w:eastAsia="Calibri" w:cs="Times New Roman"/>
          <w:b/>
          <w:color w:val="000000"/>
          <w:u w:val="single"/>
        </w:rPr>
        <w:t>identifying pupil’s sex for the purpose of participating in single-sex interscholastic athletic events</w:t>
      </w:r>
      <w:r w:rsidRPr="00911F33">
        <w:rPr>
          <w:rFonts w:eastAsia="Calibri" w:cs="Times New Roman"/>
          <w:b/>
          <w:color w:val="000000"/>
        </w:rPr>
        <w:t>.</w:t>
      </w:r>
    </w:p>
    <w:p w14:paraId="5D5D2FF3" w14:textId="77777777" w:rsidR="00783530" w:rsidRPr="00911F33" w:rsidRDefault="00DC092A" w:rsidP="00DC092A">
      <w:pPr>
        <w:widowControl w:val="0"/>
        <w:ind w:firstLine="720"/>
        <w:jc w:val="both"/>
        <w:rPr>
          <w:rFonts w:eastAsia="Calibri" w:cs="Times New Roman"/>
          <w:color w:val="000000"/>
          <w:u w:val="single"/>
        </w:rPr>
      </w:pPr>
      <w:r w:rsidRPr="00911F33">
        <w:rPr>
          <w:rFonts w:eastAsia="Calibri" w:cs="Times New Roman"/>
          <w:color w:val="000000"/>
        </w:rPr>
        <w:t xml:space="preserve">(a) No pupil shall be admitted for the first time to any public school in this state unless the person enrolling the pupil presents a copy of the pupil's original birth record certified by the state registrar of vital statistics confirming the pupil's identity, age, </w:t>
      </w:r>
      <w:r w:rsidRPr="00911F33">
        <w:rPr>
          <w:rFonts w:eastAsia="Calibri" w:cs="Times New Roman"/>
          <w:color w:val="000000"/>
          <w:u w:val="single"/>
        </w:rPr>
        <w:t>sex at time of birth</w:t>
      </w:r>
      <w:r w:rsidRPr="00911F33">
        <w:rPr>
          <w:rFonts w:eastAsia="Calibri" w:cs="Times New Roman"/>
          <w:color w:val="000000"/>
        </w:rPr>
        <w:t>, and state file number of the original birth record. If a certified copy of the pupil's birth record cannot be obtained, the person so enrolling the pupil shall submit</w:t>
      </w:r>
      <w:r w:rsidR="00783530" w:rsidRPr="00911F33">
        <w:rPr>
          <w:rFonts w:eastAsia="Calibri" w:cs="Times New Roman"/>
          <w:color w:val="000000"/>
          <w:u w:val="single"/>
        </w:rPr>
        <w:t>:</w:t>
      </w:r>
    </w:p>
    <w:p w14:paraId="2552E2AA" w14:textId="77777777" w:rsidR="00783530" w:rsidRPr="00911F33" w:rsidRDefault="00783530" w:rsidP="00DC092A">
      <w:pPr>
        <w:widowControl w:val="0"/>
        <w:ind w:firstLine="720"/>
        <w:jc w:val="both"/>
        <w:rPr>
          <w:rFonts w:eastAsia="Calibri" w:cs="Times New Roman"/>
          <w:color w:val="000000"/>
          <w:u w:val="single"/>
        </w:rPr>
      </w:pPr>
      <w:r w:rsidRPr="00911F33">
        <w:rPr>
          <w:rFonts w:eastAsia="Calibri" w:cs="Times New Roman"/>
          <w:color w:val="000000"/>
          <w:u w:val="single"/>
        </w:rPr>
        <w:t>(1)</w:t>
      </w:r>
      <w:r w:rsidR="00DC092A" w:rsidRPr="00911F33">
        <w:rPr>
          <w:rFonts w:eastAsia="Calibri" w:cs="Times New Roman"/>
          <w:color w:val="000000"/>
        </w:rPr>
        <w:t xml:space="preserve"> </w:t>
      </w:r>
      <w:r w:rsidR="00DC092A" w:rsidRPr="00911F33">
        <w:rPr>
          <w:rFonts w:eastAsia="Calibri" w:cs="Times New Roman"/>
          <w:strike/>
          <w:color w:val="000000"/>
        </w:rPr>
        <w:t>an</w:t>
      </w:r>
      <w:r w:rsidR="00DC092A" w:rsidRPr="00911F33">
        <w:rPr>
          <w:rFonts w:eastAsia="Calibri" w:cs="Times New Roman"/>
          <w:color w:val="000000"/>
        </w:rPr>
        <w:t xml:space="preserve"> </w:t>
      </w:r>
      <w:r w:rsidRPr="00911F33">
        <w:rPr>
          <w:rFonts w:eastAsia="Calibri" w:cs="Times New Roman"/>
          <w:color w:val="000000"/>
          <w:u w:val="single"/>
        </w:rPr>
        <w:t>An</w:t>
      </w:r>
      <w:r w:rsidRPr="00911F33">
        <w:rPr>
          <w:rFonts w:eastAsia="Calibri" w:cs="Times New Roman"/>
          <w:color w:val="000000"/>
        </w:rPr>
        <w:t xml:space="preserve"> </w:t>
      </w:r>
      <w:r w:rsidR="00DC092A" w:rsidRPr="00911F33">
        <w:rPr>
          <w:rFonts w:eastAsia="Calibri" w:cs="Times New Roman"/>
          <w:color w:val="000000"/>
        </w:rPr>
        <w:t xml:space="preserve">affidavit explaining the inability to produce a certified copy of the birth record: </w:t>
      </w:r>
      <w:r w:rsidR="00DC092A" w:rsidRPr="00911F33">
        <w:rPr>
          <w:rFonts w:eastAsia="Calibri" w:cs="Times New Roman"/>
          <w:i/>
          <w:iCs/>
          <w:color w:val="000000"/>
        </w:rPr>
        <w:t>Provided,</w:t>
      </w:r>
      <w:r w:rsidR="00DC092A" w:rsidRPr="00911F33">
        <w:rPr>
          <w:rFonts w:eastAsia="Calibri" w:cs="Times New Roman"/>
          <w:color w:val="000000"/>
        </w:rPr>
        <w:t xml:space="preserve"> That if any person submitting such affidavit is in U.S. military service and is in transit due to military orders, a three-week extension shall be granted to such person for providing the birth records</w:t>
      </w:r>
      <w:r w:rsidRPr="00911F33">
        <w:rPr>
          <w:rFonts w:eastAsia="Calibri" w:cs="Times New Roman"/>
          <w:color w:val="000000"/>
          <w:u w:val="single"/>
        </w:rPr>
        <w:t>; and</w:t>
      </w:r>
    </w:p>
    <w:p w14:paraId="03CB42BD" w14:textId="511D3118" w:rsidR="00783530" w:rsidRPr="00911F33" w:rsidRDefault="00783530" w:rsidP="00755FAB">
      <w:pPr>
        <w:widowControl w:val="0"/>
        <w:ind w:firstLine="720"/>
        <w:jc w:val="both"/>
        <w:rPr>
          <w:rFonts w:eastAsia="Calibri" w:cs="Times New Roman"/>
          <w:color w:val="000000"/>
          <w:u w:val="single"/>
        </w:rPr>
      </w:pPr>
      <w:r w:rsidRPr="00911F33">
        <w:rPr>
          <w:rFonts w:eastAsia="Calibri" w:cs="Times New Roman"/>
          <w:color w:val="000000"/>
          <w:u w:val="single"/>
        </w:rPr>
        <w:t>(2</w:t>
      </w:r>
      <w:bookmarkStart w:id="0" w:name="_Hlk66783687"/>
      <w:r w:rsidRPr="00911F33">
        <w:rPr>
          <w:rFonts w:eastAsia="Calibri" w:cs="Times New Roman"/>
          <w:color w:val="000000"/>
          <w:u w:val="single"/>
        </w:rPr>
        <w:t>) A signed physician’s statement indicating the pupil’s sex based solely on</w:t>
      </w:r>
      <w:r w:rsidR="00755FAB" w:rsidRPr="00911F33">
        <w:rPr>
          <w:rFonts w:eastAsia="Calibri" w:cs="Times New Roman"/>
          <w:color w:val="000000"/>
          <w:u w:val="single"/>
        </w:rPr>
        <w:t xml:space="preserve"> t</w:t>
      </w:r>
      <w:r w:rsidRPr="00911F33">
        <w:rPr>
          <w:rFonts w:eastAsia="Calibri" w:cs="Times New Roman"/>
          <w:color w:val="000000"/>
          <w:u w:val="single"/>
        </w:rPr>
        <w:t xml:space="preserve">he pupil’s </w:t>
      </w:r>
      <w:r w:rsidR="00755FAB" w:rsidRPr="00911F33">
        <w:rPr>
          <w:rFonts w:eastAsia="Calibri" w:cs="Times New Roman"/>
          <w:color w:val="000000"/>
          <w:u w:val="single"/>
        </w:rPr>
        <w:t xml:space="preserve">unaltered </w:t>
      </w:r>
      <w:r w:rsidRPr="00911F33">
        <w:rPr>
          <w:rFonts w:eastAsia="Calibri" w:cs="Times New Roman"/>
          <w:color w:val="000000"/>
          <w:u w:val="single"/>
        </w:rPr>
        <w:t>internal and external reproductive anatomy</w:t>
      </w:r>
      <w:r w:rsidR="00755FAB" w:rsidRPr="00911F33">
        <w:rPr>
          <w:rFonts w:eastAsia="Calibri" w:cs="Times New Roman"/>
          <w:color w:val="000000"/>
          <w:u w:val="single"/>
        </w:rPr>
        <w:t>.</w:t>
      </w:r>
    </w:p>
    <w:bookmarkEnd w:id="0"/>
    <w:p w14:paraId="6C4CB0DA" w14:textId="69AFAD3D" w:rsidR="00DC092A" w:rsidRPr="00911F33" w:rsidRDefault="00DC092A" w:rsidP="00DC092A">
      <w:pPr>
        <w:widowControl w:val="0"/>
        <w:ind w:firstLine="720"/>
        <w:jc w:val="both"/>
        <w:rPr>
          <w:rFonts w:eastAsia="Calibri" w:cs="Times New Roman"/>
          <w:color w:val="000000"/>
        </w:rPr>
      </w:pPr>
      <w:r w:rsidRPr="00911F33">
        <w:rPr>
          <w:rFonts w:eastAsia="Calibri" w:cs="Times New Roman"/>
          <w:color w:val="000000"/>
        </w:rPr>
        <w:lastRenderedPageBreak/>
        <w:t xml:space="preserve">(b) Upon the failure of any person enrolling a pupil to furnish a certified copy of the pupil's birth record in conformance with subsection (a) above, the principal of the school in which the pupil is being enrolled or his </w:t>
      </w:r>
      <w:r w:rsidRPr="00911F33">
        <w:rPr>
          <w:rFonts w:eastAsia="Calibri" w:cs="Times New Roman"/>
          <w:color w:val="000000"/>
          <w:u w:val="single"/>
        </w:rPr>
        <w:t>or her</w:t>
      </w:r>
      <w:r w:rsidRPr="00911F33">
        <w:rPr>
          <w:rFonts w:eastAsia="Calibri" w:cs="Times New Roman"/>
          <w:color w:val="000000"/>
        </w:rPr>
        <w:t xml:space="preserve"> designee shall immediately notify the local law-enforcement agency. The notice to the local law-enforcement agency shall include copies of the submitted proof of the pupil's identity</w:t>
      </w:r>
      <w:r w:rsidR="00783530" w:rsidRPr="00911F33">
        <w:rPr>
          <w:rFonts w:eastAsia="Calibri" w:cs="Times New Roman"/>
          <w:color w:val="000000"/>
          <w:u w:val="single"/>
        </w:rPr>
        <w:t>,</w:t>
      </w:r>
      <w:r w:rsidRPr="00911F33">
        <w:rPr>
          <w:rFonts w:eastAsia="Calibri" w:cs="Times New Roman"/>
          <w:color w:val="000000"/>
        </w:rPr>
        <w:t xml:space="preserve"> </w:t>
      </w:r>
      <w:r w:rsidRPr="00911F33">
        <w:rPr>
          <w:rFonts w:eastAsia="Calibri" w:cs="Times New Roman"/>
          <w:strike/>
          <w:color w:val="000000"/>
        </w:rPr>
        <w:t>and</w:t>
      </w:r>
      <w:r w:rsidRPr="00911F33">
        <w:rPr>
          <w:rFonts w:eastAsia="Calibri" w:cs="Times New Roman"/>
          <w:color w:val="000000"/>
        </w:rPr>
        <w:t xml:space="preserve"> age</w:t>
      </w:r>
      <w:r w:rsidR="00783530" w:rsidRPr="00911F33">
        <w:rPr>
          <w:rFonts w:eastAsia="Calibri" w:cs="Times New Roman"/>
          <w:color w:val="000000"/>
          <w:u w:val="single"/>
        </w:rPr>
        <w:t>, and sex at time of birth</w:t>
      </w:r>
      <w:r w:rsidRPr="00911F33">
        <w:rPr>
          <w:rFonts w:eastAsia="Calibri" w:cs="Times New Roman"/>
          <w:color w:val="000000"/>
        </w:rPr>
        <w:t xml:space="preserve"> and the affidavit explaining the inability to produce a certified copy of the birth record.</w:t>
      </w:r>
    </w:p>
    <w:p w14:paraId="55298F1C" w14:textId="2C5400B5" w:rsidR="00DC092A" w:rsidRPr="00911F33" w:rsidRDefault="00DC092A" w:rsidP="00DC092A">
      <w:pPr>
        <w:widowControl w:val="0"/>
        <w:ind w:firstLine="720"/>
        <w:jc w:val="both"/>
        <w:rPr>
          <w:rFonts w:eastAsia="Calibri" w:cs="Times New Roman"/>
          <w:color w:val="000000"/>
        </w:rPr>
      </w:pPr>
      <w:r w:rsidRPr="00911F33">
        <w:rPr>
          <w:rFonts w:eastAsia="Calibri" w:cs="Times New Roman"/>
          <w:color w:val="000000"/>
        </w:rPr>
        <w:t xml:space="preserve">(c) Within fourteen days after enrolling a transferred pupil, the principal of the school in which the pupil has been enrolled or his </w:t>
      </w:r>
      <w:r w:rsidRPr="00911F33">
        <w:rPr>
          <w:rFonts w:eastAsia="Calibri" w:cs="Times New Roman"/>
          <w:color w:val="000000"/>
          <w:u w:val="single"/>
        </w:rPr>
        <w:t>or her</w:t>
      </w:r>
      <w:r w:rsidRPr="00911F33">
        <w:rPr>
          <w:rFonts w:eastAsia="Calibri" w:cs="Times New Roman"/>
          <w:color w:val="000000"/>
        </w:rPr>
        <w:t xml:space="preserve"> designee shall request that the principal or his </w:t>
      </w:r>
      <w:r w:rsidRPr="00911F33">
        <w:rPr>
          <w:rFonts w:eastAsia="Calibri" w:cs="Times New Roman"/>
          <w:color w:val="000000"/>
          <w:u w:val="single"/>
        </w:rPr>
        <w:t>or her</w:t>
      </w:r>
      <w:r w:rsidRPr="00911F33">
        <w:rPr>
          <w:rFonts w:eastAsia="Calibri" w:cs="Times New Roman"/>
          <w:color w:val="000000"/>
        </w:rPr>
        <w:t xml:space="preserve"> designee of the school in which the pupil was previously enrolled transfer a certified copy of the pupil's birth record.</w:t>
      </w:r>
    </w:p>
    <w:p w14:paraId="0928C631" w14:textId="1FC0D14D" w:rsidR="00DC092A" w:rsidRPr="00911F33" w:rsidRDefault="00F12B60" w:rsidP="000A4F35">
      <w:pPr>
        <w:widowControl w:val="0"/>
        <w:ind w:firstLine="720"/>
        <w:jc w:val="both"/>
        <w:rPr>
          <w:rFonts w:eastAsia="Calibri" w:cs="Times New Roman"/>
          <w:color w:val="000000"/>
        </w:rPr>
      </w:pPr>
      <w:r w:rsidRPr="00911F33">
        <w:rPr>
          <w:rFonts w:eastAsia="Calibri" w:cs="Times New Roman"/>
          <w:color w:val="000000"/>
        </w:rPr>
        <w:t xml:space="preserve">(d) </w:t>
      </w:r>
      <w:r w:rsidR="00DC092A" w:rsidRPr="00911F33">
        <w:rPr>
          <w:rFonts w:eastAsia="Calibri" w:cs="Times New Roman"/>
          <w:color w:val="000000"/>
        </w:rPr>
        <w:t>Principals and their designees shall be immune from any civil or criminal liability in connection with any notice to a local law-enforcement agency of a pupil lacking a birth certificate or failure to give such notice as required by this section.</w:t>
      </w:r>
    </w:p>
    <w:p w14:paraId="5FBB681C" w14:textId="5C317EAA" w:rsidR="000A4F35" w:rsidRPr="00911F33" w:rsidRDefault="000A4F35" w:rsidP="000A4F35">
      <w:pPr>
        <w:widowControl w:val="0"/>
        <w:ind w:firstLine="720"/>
        <w:jc w:val="both"/>
        <w:rPr>
          <w:rFonts w:eastAsia="Calibri" w:cs="Times New Roman"/>
          <w:color w:val="000000"/>
          <w:u w:val="single"/>
        </w:rPr>
      </w:pPr>
      <w:r w:rsidRPr="00911F33">
        <w:rPr>
          <w:rFonts w:eastAsia="Calibri" w:cs="Times New Roman"/>
          <w:color w:val="000000"/>
          <w:u w:val="single"/>
        </w:rPr>
        <w:t xml:space="preserve">(e) The sex identified in subsection (a) above shall be the pupil’s sex for the purposes of participating in single-sex </w:t>
      </w:r>
      <w:r w:rsidR="001F5DC0" w:rsidRPr="00911F33">
        <w:rPr>
          <w:rFonts w:eastAsia="Calibri" w:cs="Times New Roman"/>
          <w:color w:val="000000"/>
          <w:u w:val="single"/>
        </w:rPr>
        <w:t xml:space="preserve">secondary school </w:t>
      </w:r>
      <w:r w:rsidRPr="00911F33">
        <w:rPr>
          <w:rFonts w:eastAsia="Calibri" w:cs="Times New Roman"/>
          <w:color w:val="000000"/>
          <w:u w:val="single"/>
        </w:rPr>
        <w:t xml:space="preserve">interscholastic athletic events under the control, supervision, and regulation of the West Virginia Secondary Schools Activities Commission pursuant to §18-2-25 of this code. </w:t>
      </w:r>
    </w:p>
    <w:p w14:paraId="258926AC" w14:textId="3ECFF583" w:rsidR="0034233F" w:rsidRPr="00911F33" w:rsidRDefault="0034233F" w:rsidP="0034233F">
      <w:pPr>
        <w:suppressLineNumbers/>
        <w:spacing w:line="456" w:lineRule="auto"/>
        <w:ind w:left="720" w:hanging="720"/>
        <w:jc w:val="both"/>
        <w:outlineLvl w:val="3"/>
        <w:rPr>
          <w:rFonts w:eastAsia="Calibri" w:cs="Times New Roman"/>
          <w:b/>
          <w:color w:val="000000"/>
        </w:rPr>
      </w:pPr>
      <w:r w:rsidRPr="00911F33">
        <w:rPr>
          <w:rFonts w:eastAsia="Calibri" w:cs="Times New Roman"/>
          <w:b/>
          <w:color w:val="000000"/>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w:t>
      </w:r>
      <w:r w:rsidR="00996DD9" w:rsidRPr="00911F33">
        <w:rPr>
          <w:rFonts w:eastAsia="Calibri" w:cs="Times New Roman"/>
          <w:b/>
          <w:color w:val="000000"/>
          <w:u w:val="single"/>
        </w:rPr>
        <w:t>,</w:t>
      </w:r>
      <w:r w:rsidRPr="00911F33">
        <w:rPr>
          <w:rFonts w:eastAsia="Calibri" w:cs="Times New Roman"/>
          <w:b/>
          <w:color w:val="000000"/>
        </w:rPr>
        <w:t xml:space="preserve"> </w:t>
      </w:r>
      <w:r w:rsidRPr="00911F33">
        <w:rPr>
          <w:rFonts w:eastAsia="Calibri" w:cs="Times New Roman"/>
          <w:b/>
          <w:strike/>
          <w:color w:val="000000"/>
        </w:rPr>
        <w:t xml:space="preserve">and </w:t>
      </w:r>
      <w:r w:rsidRPr="00911F33">
        <w:rPr>
          <w:rFonts w:eastAsia="Calibri" w:cs="Times New Roman"/>
          <w:b/>
          <w:color w:val="000000"/>
        </w:rPr>
        <w:t>by home-schooled students</w:t>
      </w:r>
      <w:r w:rsidR="00996DD9" w:rsidRPr="00911F33">
        <w:rPr>
          <w:rFonts w:eastAsia="Calibri" w:cs="Times New Roman"/>
          <w:b/>
          <w:color w:val="000000"/>
          <w:u w:val="single"/>
        </w:rPr>
        <w:t xml:space="preserve"> and by preparatory athletic programs; student </w:t>
      </w:r>
      <w:r w:rsidR="00996DD9" w:rsidRPr="00911F33">
        <w:rPr>
          <w:b/>
          <w:color w:val="000000"/>
          <w:u w:val="single"/>
        </w:rPr>
        <w:t>participation in single-sex secondary school interscholastic athletic events</w:t>
      </w:r>
      <w:r w:rsidRPr="00911F33">
        <w:rPr>
          <w:rFonts w:eastAsia="Calibri" w:cs="Times New Roman"/>
          <w:b/>
          <w:color w:val="000000"/>
        </w:rPr>
        <w:t>.</w:t>
      </w:r>
    </w:p>
    <w:p w14:paraId="199D4DF5" w14:textId="77777777" w:rsidR="0034233F" w:rsidRPr="00911F33" w:rsidRDefault="0034233F" w:rsidP="0034233F">
      <w:pPr>
        <w:spacing w:line="456" w:lineRule="auto"/>
        <w:ind w:firstLine="720"/>
        <w:jc w:val="both"/>
        <w:rPr>
          <w:rFonts w:eastAsia="Calibri" w:cs="Times New Roman"/>
          <w:color w:val="000000"/>
        </w:rPr>
      </w:pPr>
      <w:r w:rsidRPr="00911F33">
        <w:rPr>
          <w:rFonts w:eastAsia="Calibri" w:cs="Times New Roman"/>
          <w:color w:val="000000"/>
        </w:rPr>
        <w:t xml:space="preserve">(a) The county boards of education shall exercise the control, supervision, and regulation of all interscholastic athletic events, and other extracurricular activities of the students in public </w:t>
      </w:r>
      <w:r w:rsidRPr="00911F33">
        <w:rPr>
          <w:rFonts w:eastAsia="Calibri" w:cs="Times New Roman"/>
          <w:color w:val="000000"/>
        </w:rPr>
        <w:lastRenderedPageBreak/>
        <w:t xml:space="preserve">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42C46FB1" w14:textId="77777777" w:rsidR="0034233F" w:rsidRPr="00911F33" w:rsidRDefault="0034233F" w:rsidP="0034233F">
      <w:pPr>
        <w:spacing w:line="485" w:lineRule="auto"/>
        <w:ind w:firstLine="720"/>
        <w:jc w:val="both"/>
        <w:rPr>
          <w:rFonts w:eastAsia="Calibri" w:cs="Times New Roman"/>
          <w:color w:val="000000"/>
        </w:rPr>
      </w:pPr>
      <w:r w:rsidRPr="00911F33">
        <w:rPr>
          <w:rFonts w:eastAsia="Calibri" w:cs="Times New Roman"/>
          <w:color w:val="000000"/>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911F33">
        <w:rPr>
          <w:rFonts w:eastAsia="Calibri" w:cs="Times New Roman"/>
          <w:i/>
          <w:color w:val="000000"/>
        </w:rPr>
        <w:t>et seq.</w:t>
      </w:r>
      <w:r w:rsidRPr="00911F33">
        <w:rPr>
          <w:rFonts w:eastAsia="Calibri" w:cs="Times New Roman"/>
          <w:color w:val="000000"/>
        </w:rPr>
        <w:t xml:space="preserve"> of this code, and the funds of the commission are subject to an annual audit by the State Tax Commissioner.</w:t>
      </w:r>
    </w:p>
    <w:p w14:paraId="04FDC247" w14:textId="77777777" w:rsidR="0034233F" w:rsidRPr="00911F33" w:rsidRDefault="0034233F" w:rsidP="0034233F">
      <w:pPr>
        <w:spacing w:line="485" w:lineRule="auto"/>
        <w:ind w:firstLine="720"/>
        <w:jc w:val="both"/>
        <w:rPr>
          <w:rFonts w:eastAsia="Calibri" w:cs="Times New Roman"/>
          <w:color w:val="000000"/>
        </w:rPr>
      </w:pPr>
      <w:r w:rsidRPr="00911F33">
        <w:rPr>
          <w:rFonts w:eastAsia="Calibri" w:cs="Times New Roman"/>
          <w:color w:val="000000"/>
        </w:rPr>
        <w:t xml:space="preserve">(c) The West Virginia Secondary School Activities Commission shall promulgate reasonable rules providing for the control, supervision, and regulation of the interscholastic athletic events and other extracurricular activities of private and parochial secondary schools as </w:t>
      </w:r>
      <w:r w:rsidRPr="00911F33">
        <w:rPr>
          <w:rFonts w:eastAsia="Calibri" w:cs="Times New Roman"/>
          <w:color w:val="000000"/>
        </w:rPr>
        <w:lastRenderedPageBreak/>
        <w:t>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1612E3A1" w14:textId="77777777" w:rsidR="0034233F" w:rsidRPr="00911F33" w:rsidRDefault="0034233F" w:rsidP="0034233F">
      <w:pPr>
        <w:spacing w:line="485" w:lineRule="auto"/>
        <w:ind w:firstLine="720"/>
        <w:jc w:val="both"/>
        <w:rPr>
          <w:rFonts w:eastAsia="Calibri" w:cs="Times New Roman"/>
          <w:color w:val="000000"/>
        </w:rPr>
      </w:pPr>
      <w:r w:rsidRPr="00911F33">
        <w:rPr>
          <w:rFonts w:eastAsia="Calibri" w:cs="Times New Roman"/>
          <w:color w:val="000000"/>
        </w:rPr>
        <w:t>(d)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and who:</w:t>
      </w:r>
    </w:p>
    <w:p w14:paraId="6DB3560D" w14:textId="77777777" w:rsidR="0034233F" w:rsidRPr="00911F33" w:rsidRDefault="0034233F" w:rsidP="0034233F">
      <w:pPr>
        <w:spacing w:line="456" w:lineRule="auto"/>
        <w:ind w:left="720"/>
        <w:jc w:val="both"/>
        <w:rPr>
          <w:rFonts w:eastAsia="Calibri" w:cs="Times New Roman"/>
          <w:color w:val="000000"/>
        </w:rPr>
      </w:pPr>
      <w:r w:rsidRPr="00911F33">
        <w:rPr>
          <w:rFonts w:eastAsia="Calibri" w:cs="Times New Roman"/>
          <w:color w:val="000000"/>
        </w:rPr>
        <w:t xml:space="preserve">(1) Has demonstrated satisfactory evidence of academic progress for one year in </w:t>
      </w:r>
    </w:p>
    <w:p w14:paraId="13F92444" w14:textId="77777777" w:rsidR="0034233F" w:rsidRPr="00911F33" w:rsidRDefault="0034233F" w:rsidP="0034233F">
      <w:pPr>
        <w:spacing w:line="444" w:lineRule="auto"/>
        <w:jc w:val="both"/>
        <w:rPr>
          <w:rFonts w:eastAsia="Calibri" w:cs="Times New Roman"/>
          <w:color w:val="000000"/>
        </w:rPr>
      </w:pPr>
      <w:r w:rsidRPr="00911F33">
        <w:rPr>
          <w:rFonts w:eastAsia="Calibri" w:cs="Times New Roman"/>
          <w:color w:val="000000"/>
        </w:rPr>
        <w:t xml:space="preserve">compliance with the provisions of that subsection: </w:t>
      </w:r>
      <w:r w:rsidRPr="00911F33">
        <w:rPr>
          <w:rFonts w:eastAsia="Calibri" w:cs="Times New Roman"/>
          <w:i/>
          <w:color w:val="000000"/>
        </w:rPr>
        <w:t>Provided,</w:t>
      </w:r>
      <w:r w:rsidRPr="00911F33">
        <w:rPr>
          <w:rFonts w:eastAsia="Calibri" w:cs="Times New Roman"/>
          <w:color w:val="000000"/>
        </w:rPr>
        <w:t xml:space="preserve"> That the student’s average test results are within or above the fourth stanine in all subject areas;</w:t>
      </w:r>
    </w:p>
    <w:p w14:paraId="57F0FBC6" w14:textId="77777777" w:rsidR="0034233F" w:rsidRPr="00911F33" w:rsidRDefault="0034233F" w:rsidP="0034233F">
      <w:pPr>
        <w:spacing w:line="444" w:lineRule="auto"/>
        <w:ind w:left="720"/>
        <w:jc w:val="both"/>
        <w:rPr>
          <w:rFonts w:eastAsia="Calibri" w:cs="Times New Roman"/>
          <w:color w:val="000000"/>
        </w:rPr>
      </w:pPr>
      <w:r w:rsidRPr="00911F33">
        <w:rPr>
          <w:rFonts w:eastAsia="Calibri" w:cs="Times New Roman"/>
          <w:color w:val="000000"/>
        </w:rPr>
        <w:t>(2) Is enrolled in at least one virtual instructional course per semester, consistent with the</w:t>
      </w:r>
    </w:p>
    <w:p w14:paraId="52F7C82D" w14:textId="77777777" w:rsidR="0034233F" w:rsidRPr="00911F33" w:rsidRDefault="0034233F" w:rsidP="0034233F">
      <w:pPr>
        <w:spacing w:line="444" w:lineRule="auto"/>
        <w:jc w:val="both"/>
        <w:rPr>
          <w:rFonts w:eastAsia="Calibri" w:cs="Times New Roman"/>
          <w:color w:val="000000"/>
        </w:rPr>
      </w:pPr>
      <w:r w:rsidRPr="00911F33">
        <w:rPr>
          <w:rFonts w:eastAsia="Calibri" w:cs="Times New Roman"/>
          <w:color w:val="000000"/>
        </w:rPr>
        <w:t>applicable virtual instruction policy of the county board in which the home-schooled student lives and the State Board;</w:t>
      </w:r>
    </w:p>
    <w:p w14:paraId="06C739BF" w14:textId="77777777" w:rsidR="0034233F" w:rsidRPr="00911F33" w:rsidRDefault="0034233F" w:rsidP="0034233F">
      <w:pPr>
        <w:spacing w:line="444" w:lineRule="auto"/>
        <w:ind w:firstLine="720"/>
        <w:jc w:val="both"/>
        <w:rPr>
          <w:rFonts w:eastAsia="Calibri" w:cs="Times New Roman"/>
          <w:color w:val="000000"/>
        </w:rPr>
      </w:pPr>
      <w:r w:rsidRPr="00911F33">
        <w:rPr>
          <w:rFonts w:eastAsia="Calibri" w:cs="Times New Roman"/>
          <w:color w:val="000000"/>
        </w:rPr>
        <w:t>(3) Has not reached the age of 19 by August 1 of the current school year;</w:t>
      </w:r>
    </w:p>
    <w:p w14:paraId="23FF0E3C" w14:textId="77777777" w:rsidR="0034233F" w:rsidRPr="00911F33" w:rsidRDefault="0034233F" w:rsidP="0034233F">
      <w:pPr>
        <w:spacing w:line="444" w:lineRule="auto"/>
        <w:ind w:firstLine="720"/>
        <w:jc w:val="both"/>
        <w:rPr>
          <w:rFonts w:eastAsia="Calibri" w:cs="Times New Roman"/>
          <w:color w:val="000000"/>
        </w:rPr>
      </w:pPr>
      <w:r w:rsidRPr="00911F33">
        <w:rPr>
          <w:rFonts w:eastAsia="Calibri" w:cs="Times New Roman"/>
          <w:color w:val="000000"/>
        </w:rPr>
        <w:t>(4) Is an amateur who receives no compensation but participates solely for the educational, physical, mental and social benefits of the activity;</w:t>
      </w:r>
    </w:p>
    <w:p w14:paraId="0AD1CFF8" w14:textId="77777777" w:rsidR="0034233F" w:rsidRPr="00911F33" w:rsidRDefault="0034233F" w:rsidP="0034233F">
      <w:pPr>
        <w:spacing w:line="444" w:lineRule="auto"/>
        <w:ind w:firstLine="720"/>
        <w:jc w:val="both"/>
        <w:rPr>
          <w:rFonts w:eastAsia="Calibri" w:cs="Times New Roman"/>
          <w:color w:val="000000"/>
        </w:rPr>
      </w:pPr>
      <w:r w:rsidRPr="00911F33">
        <w:rPr>
          <w:rFonts w:eastAsia="Calibri" w:cs="Times New Roman"/>
          <w:color w:val="000000"/>
        </w:rPr>
        <w:t>(5) Agrees to comply with all disciplinary rules of the West Virginia Secondary School Activities Commission and the county board in which the home-schooled student lives; and</w:t>
      </w:r>
    </w:p>
    <w:p w14:paraId="2E240B1A" w14:textId="77777777" w:rsidR="0034233F" w:rsidRPr="00911F33" w:rsidRDefault="0034233F" w:rsidP="0034233F">
      <w:pPr>
        <w:spacing w:line="444" w:lineRule="auto"/>
        <w:ind w:firstLine="720"/>
        <w:jc w:val="both"/>
        <w:rPr>
          <w:rFonts w:eastAsia="Calibri" w:cs="Times New Roman"/>
          <w:color w:val="000000"/>
        </w:rPr>
      </w:pPr>
      <w:r w:rsidRPr="00911F33">
        <w:rPr>
          <w:rFonts w:eastAsia="Calibri" w:cs="Times New Roman"/>
          <w:color w:val="000000"/>
        </w:rPr>
        <w:t>(6) Agrees to obey all rules of the West Virginia Secondary School Activities Commission governing awards, all-star games, parental consents, physical examinations, and vaccinations applicable to all high school athletes.</w:t>
      </w:r>
    </w:p>
    <w:p w14:paraId="37CAAC27" w14:textId="77777777" w:rsidR="0034233F" w:rsidRPr="00911F33" w:rsidRDefault="0034233F" w:rsidP="0034233F">
      <w:pPr>
        <w:widowControl w:val="0"/>
        <w:ind w:firstLine="720"/>
        <w:jc w:val="both"/>
        <w:rPr>
          <w:rFonts w:eastAsia="Calibri" w:cs="Times New Roman"/>
          <w:color w:val="000000"/>
        </w:rPr>
      </w:pPr>
      <w:r w:rsidRPr="00911F33">
        <w:rPr>
          <w:rFonts w:eastAsia="Calibri" w:cs="Times New Roman"/>
          <w:color w:val="000000"/>
        </w:rPr>
        <w:t xml:space="preserve">Eligibility is limited to participation in interscholastic athletic events and other extracurricular activities at the public secondary school serving the attendance zone in which the student lives: </w:t>
      </w:r>
      <w:r w:rsidRPr="00911F33">
        <w:rPr>
          <w:rFonts w:eastAsia="Calibri" w:cs="Times New Roman"/>
          <w:i/>
          <w:color w:val="000000"/>
        </w:rPr>
        <w:t xml:space="preserve">Provided, </w:t>
      </w:r>
      <w:r w:rsidRPr="00911F33">
        <w:rPr>
          <w:rFonts w:eastAsia="Calibri" w:cs="Times New Roman"/>
          <w:color w:val="000000"/>
        </w:rPr>
        <w:t xml:space="preserve">That home-schooled students who leave a member school during the </w:t>
      </w:r>
      <w:r w:rsidRPr="00911F33">
        <w:rPr>
          <w:rFonts w:eastAsia="Calibri" w:cs="Times New Roman"/>
          <w:color w:val="000000"/>
        </w:rPr>
        <w:lastRenderedPageBreak/>
        <w:t xml:space="preserve">school year are subject to the same transfer protocols that apply to member-to-member transfers. </w:t>
      </w:r>
      <w:r w:rsidRPr="00911F33">
        <w:rPr>
          <w:rFonts w:eastAsia="Calibri" w:cs="Times New Roman"/>
          <w:color w:val="000000"/>
          <w:lang w:val="en-GB"/>
        </w:rPr>
        <w:t xml:space="preserve">Reasonable fees may be charged to the student to cover the costs of participation in </w:t>
      </w:r>
      <w:r w:rsidRPr="00911F33">
        <w:rPr>
          <w:rFonts w:eastAsia="Calibri" w:cs="Times New Roman"/>
          <w:color w:val="000000"/>
        </w:rPr>
        <w:t>interscholastic athletic events and other extracurricular activities.</w:t>
      </w:r>
    </w:p>
    <w:p w14:paraId="753B277C" w14:textId="77777777" w:rsidR="0034233F" w:rsidRPr="00911F33" w:rsidRDefault="0034233F" w:rsidP="0034233F">
      <w:pPr>
        <w:widowControl w:val="0"/>
        <w:ind w:firstLine="720"/>
        <w:jc w:val="both"/>
        <w:rPr>
          <w:rFonts w:eastAsia="Calibri" w:cs="Times New Roman"/>
          <w:color w:val="000000"/>
        </w:rPr>
      </w:pPr>
      <w:r w:rsidRPr="00911F33">
        <w:rPr>
          <w:rFonts w:eastAsia="Calibri" w:cs="Times New Roman"/>
          <w:color w:val="000000"/>
        </w:rPr>
        <w:t xml:space="preserve">(e)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911F33">
        <w:rPr>
          <w:rFonts w:eastAsia="Calibri" w:cs="Times New Roman"/>
          <w:i/>
          <w:iCs/>
          <w:color w:val="000000"/>
        </w:rPr>
        <w:t>Provided</w:t>
      </w:r>
      <w:r w:rsidRPr="00911F33">
        <w:rPr>
          <w:rFonts w:eastAsia="Calibri" w:cs="Times New Roman"/>
          <w:color w:val="000000"/>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75D32A07" w14:textId="19070E35" w:rsidR="0034233F" w:rsidRPr="00911F33" w:rsidRDefault="0034233F" w:rsidP="00D10504">
      <w:pPr>
        <w:widowControl w:val="0"/>
        <w:ind w:firstLine="720"/>
        <w:jc w:val="both"/>
        <w:rPr>
          <w:rFonts w:eastAsia="Calibri" w:cs="Times New Roman"/>
          <w:color w:val="000000"/>
          <w:u w:val="single"/>
        </w:rPr>
      </w:pPr>
      <w:r w:rsidRPr="00911F33">
        <w:rPr>
          <w:rFonts w:eastAsia="Calibri" w:cs="Times New Roman"/>
          <w:color w:val="000000"/>
          <w:u w:val="single"/>
        </w:rPr>
        <w:t xml:space="preserve">(f)  Prior to a </w:t>
      </w:r>
      <w:r w:rsidRPr="00911F33">
        <w:rPr>
          <w:color w:val="000000"/>
          <w:u w:val="single"/>
        </w:rPr>
        <w:t xml:space="preserve">student's participation in single-sex secondary school interscholastic athletic events, the </w:t>
      </w:r>
      <w:r w:rsidRPr="00911F33">
        <w:rPr>
          <w:rFonts w:eastAsia="Calibri" w:cs="Times New Roman"/>
          <w:color w:val="000000"/>
          <w:u w:val="single"/>
        </w:rPr>
        <w:t xml:space="preserve">West Virginia Secondary School Activities Commission </w:t>
      </w:r>
      <w:r w:rsidRPr="00911F33">
        <w:rPr>
          <w:color w:val="000000"/>
          <w:u w:val="single"/>
        </w:rPr>
        <w:t>must verify with each county board that each student participating in single-sex interscholastic events is participating according to the student’s sex at the time of the student's birth</w:t>
      </w:r>
      <w:r w:rsidR="00D10504" w:rsidRPr="00911F33">
        <w:rPr>
          <w:color w:val="000000"/>
          <w:u w:val="single"/>
        </w:rPr>
        <w:t xml:space="preserve"> pursuant to §18-2-5c.</w:t>
      </w:r>
    </w:p>
    <w:p w14:paraId="41004FF2" w14:textId="7F2B03F7" w:rsidR="0034233F" w:rsidRPr="00911F33" w:rsidRDefault="0034233F" w:rsidP="0034233F">
      <w:pPr>
        <w:widowControl w:val="0"/>
        <w:ind w:firstLine="720"/>
        <w:jc w:val="both"/>
        <w:rPr>
          <w:rFonts w:eastAsia="Calibri" w:cs="Times New Roman"/>
          <w:color w:val="000000"/>
          <w:u w:val="single"/>
        </w:rPr>
      </w:pPr>
      <w:r w:rsidRPr="00911F33">
        <w:rPr>
          <w:rFonts w:eastAsia="Calibri" w:cs="Times New Roman"/>
          <w:color w:val="000000"/>
          <w:u w:val="single"/>
        </w:rPr>
        <w:t>This s</w:t>
      </w:r>
      <w:r w:rsidRPr="00911F33">
        <w:rPr>
          <w:color w:val="000000"/>
          <w:u w:val="single"/>
        </w:rPr>
        <w:t xml:space="preserve">ubsection does not prohibit students from participating in a co-educational secondary school interscholastic athletic events. Students may participate in a co-educational secondary school interscholastic athletic events without having to comply with the requirements of this </w:t>
      </w:r>
      <w:r w:rsidR="002F25CC" w:rsidRPr="00911F33">
        <w:rPr>
          <w:color w:val="000000"/>
          <w:u w:val="single"/>
        </w:rPr>
        <w:t>sub</w:t>
      </w:r>
      <w:r w:rsidRPr="00911F33">
        <w:rPr>
          <w:color w:val="000000"/>
          <w:u w:val="single"/>
        </w:rPr>
        <w:t>section.</w:t>
      </w:r>
    </w:p>
    <w:p w14:paraId="4407C510" w14:textId="77777777" w:rsidR="0034233F" w:rsidRPr="00911F33" w:rsidRDefault="0034233F" w:rsidP="0034233F">
      <w:pPr>
        <w:pStyle w:val="Note"/>
      </w:pPr>
    </w:p>
    <w:p w14:paraId="791FE1F5" w14:textId="77777777" w:rsidR="0034233F" w:rsidRPr="00911F33" w:rsidRDefault="0034233F" w:rsidP="0034233F">
      <w:pPr>
        <w:pStyle w:val="Note"/>
      </w:pPr>
      <w:r w:rsidRPr="00911F33">
        <w:t>NOTE: The purpose of this bill is to require that a secondary student athlete’s participation in single-sex athletics be based upon the athlete’s biological sex, as indicated on the athlete’s original birth certificate issued at the time of birth.</w:t>
      </w:r>
    </w:p>
    <w:p w14:paraId="3663FF03" w14:textId="0795BB21" w:rsidR="0034233F" w:rsidRPr="00911F33" w:rsidRDefault="0034233F" w:rsidP="0034233F">
      <w:pPr>
        <w:widowControl w:val="0"/>
        <w:jc w:val="both"/>
        <w:rPr>
          <w:rFonts w:eastAsia="Calibri" w:cs="Times New Roman"/>
          <w:color w:val="000000"/>
        </w:rPr>
        <w:sectPr w:rsidR="0034233F" w:rsidRPr="00911F33" w:rsidSect="0034233F">
          <w:type w:val="continuous"/>
          <w:pgSz w:w="12240" w:h="15840"/>
          <w:pgMar w:top="1440" w:right="1440" w:bottom="1440" w:left="1440" w:header="1440" w:footer="1440" w:gutter="0"/>
          <w:lnNumType w:countBy="1" w:restart="newSection"/>
          <w:cols w:space="720"/>
          <w:noEndnote/>
          <w:docGrid w:linePitch="326"/>
        </w:sectPr>
      </w:pPr>
    </w:p>
    <w:p w14:paraId="6DAA4099" w14:textId="77777777" w:rsidR="006865E9" w:rsidRPr="00911F33" w:rsidRDefault="00AE48A0" w:rsidP="0060106F">
      <w:pPr>
        <w:pStyle w:val="Note"/>
      </w:pPr>
      <w:r w:rsidRPr="00911F33">
        <w:t>Strike-throughs indicate language that would be stricken from a heading or the present law and underscoring indicates new language that would be added.</w:t>
      </w:r>
    </w:p>
    <w:sectPr w:rsidR="006865E9" w:rsidRPr="00911F3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34233F" w:rsidRPr="00B844FE" w:rsidRDefault="0034233F" w:rsidP="00B844FE">
      <w:r>
        <w:separator/>
      </w:r>
    </w:p>
  </w:endnote>
  <w:endnote w:type="continuationSeparator" w:id="0">
    <w:p w14:paraId="637677B2" w14:textId="77777777" w:rsidR="0034233F" w:rsidRPr="00B844FE" w:rsidRDefault="003423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34233F" w:rsidRPr="00B844FE" w:rsidRDefault="0034233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34233F" w:rsidRDefault="0034233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34233F" w:rsidRDefault="0034233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34233F" w:rsidRPr="00B844FE" w:rsidRDefault="0034233F" w:rsidP="00B844FE">
      <w:r>
        <w:separator/>
      </w:r>
    </w:p>
  </w:footnote>
  <w:footnote w:type="continuationSeparator" w:id="0">
    <w:p w14:paraId="310C7883" w14:textId="77777777" w:rsidR="0034233F" w:rsidRPr="00B844FE" w:rsidRDefault="003423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34233F" w:rsidRPr="00B844FE" w:rsidRDefault="007B622D">
    <w:pPr>
      <w:pStyle w:val="Header"/>
    </w:pPr>
    <w:sdt>
      <w:sdtPr>
        <w:id w:val="-684364211"/>
        <w:placeholder>
          <w:docPart w:val="7EF630FB5C834A289BCD9323568DA8FA"/>
        </w:placeholder>
        <w:temporary/>
        <w:showingPlcHdr/>
        <w15:appearance w15:val="hidden"/>
      </w:sdtPr>
      <w:sdtEndPr/>
      <w:sdtContent>
        <w:r w:rsidR="0034233F" w:rsidRPr="00B844FE">
          <w:t>[Type here]</w:t>
        </w:r>
      </w:sdtContent>
    </w:sdt>
    <w:r w:rsidR="0034233F" w:rsidRPr="00B844FE">
      <w:ptab w:relativeTo="margin" w:alignment="left" w:leader="none"/>
    </w:r>
    <w:sdt>
      <w:sdtPr>
        <w:id w:val="-556240388"/>
        <w:placeholder>
          <w:docPart w:val="7EF630FB5C834A289BCD9323568DA8FA"/>
        </w:placeholder>
        <w:temporary/>
        <w:showingPlcHdr/>
        <w15:appearance w15:val="hidden"/>
      </w:sdtPr>
      <w:sdtEndPr/>
      <w:sdtContent>
        <w:r w:rsidR="0034233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5DE7C512" w:rsidR="0034233F" w:rsidRPr="00C33014" w:rsidRDefault="0034233F" w:rsidP="0060106F">
    <w:pPr>
      <w:pStyle w:val="HeaderStyle"/>
    </w:pPr>
    <w:r>
      <w:t>HB ORG</w:t>
    </w:r>
    <w:sdt>
      <w:sdtPr>
        <w:tag w:val="BNumWH"/>
        <w:id w:val="1665671728"/>
        <w:placeholder>
          <w:docPart w:val="34CF05A9A1734C8DA9B239B033908B9D"/>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67E0" w14:textId="3A4FACDB" w:rsidR="0034233F" w:rsidRPr="002A0269" w:rsidRDefault="0034233F" w:rsidP="0060106F">
    <w:pPr>
      <w:pStyle w:val="HeaderStyle"/>
    </w:pPr>
    <w:r>
      <w:t>HB ORG</w:t>
    </w:r>
    <w:sdt>
      <w:sdtPr>
        <w:tag w:val="BNumWH"/>
        <w:id w:val="-1890952866"/>
        <w:placeholder>
          <w:docPart w:val="661873C8B44345199071978756A3B39D"/>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953BA"/>
    <w:rsid w:val="000A4F35"/>
    <w:rsid w:val="000C5C77"/>
    <w:rsid w:val="0010070F"/>
    <w:rsid w:val="0015112E"/>
    <w:rsid w:val="001552E7"/>
    <w:rsid w:val="001566B4"/>
    <w:rsid w:val="00194F34"/>
    <w:rsid w:val="001C279E"/>
    <w:rsid w:val="001D459E"/>
    <w:rsid w:val="001F5DC0"/>
    <w:rsid w:val="0027011C"/>
    <w:rsid w:val="00274200"/>
    <w:rsid w:val="00275740"/>
    <w:rsid w:val="002A0269"/>
    <w:rsid w:val="002F25CC"/>
    <w:rsid w:val="00303684"/>
    <w:rsid w:val="003143F5"/>
    <w:rsid w:val="00314854"/>
    <w:rsid w:val="0034233F"/>
    <w:rsid w:val="00347B08"/>
    <w:rsid w:val="00364DC0"/>
    <w:rsid w:val="003672F1"/>
    <w:rsid w:val="003A1D9F"/>
    <w:rsid w:val="003C51CD"/>
    <w:rsid w:val="003C75AE"/>
    <w:rsid w:val="003C7D27"/>
    <w:rsid w:val="004247A2"/>
    <w:rsid w:val="0043067A"/>
    <w:rsid w:val="004B2795"/>
    <w:rsid w:val="004C13DD"/>
    <w:rsid w:val="004E3441"/>
    <w:rsid w:val="005946FF"/>
    <w:rsid w:val="005A5366"/>
    <w:rsid w:val="0060106F"/>
    <w:rsid w:val="00637E73"/>
    <w:rsid w:val="006865E9"/>
    <w:rsid w:val="00691F3E"/>
    <w:rsid w:val="00694BFB"/>
    <w:rsid w:val="006A106B"/>
    <w:rsid w:val="006B43CE"/>
    <w:rsid w:val="006C523D"/>
    <w:rsid w:val="006D4036"/>
    <w:rsid w:val="00727C3D"/>
    <w:rsid w:val="00751131"/>
    <w:rsid w:val="00755FAB"/>
    <w:rsid w:val="00783530"/>
    <w:rsid w:val="007B622D"/>
    <w:rsid w:val="007E02CF"/>
    <w:rsid w:val="007F1A01"/>
    <w:rsid w:val="007F1CF5"/>
    <w:rsid w:val="00834EDE"/>
    <w:rsid w:val="008736AA"/>
    <w:rsid w:val="008A31F5"/>
    <w:rsid w:val="008D275D"/>
    <w:rsid w:val="00911F33"/>
    <w:rsid w:val="00980327"/>
    <w:rsid w:val="00996DD9"/>
    <w:rsid w:val="009F1067"/>
    <w:rsid w:val="00A02BCE"/>
    <w:rsid w:val="00A31E01"/>
    <w:rsid w:val="00A527AD"/>
    <w:rsid w:val="00A718CF"/>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5142"/>
    <w:rsid w:val="00CF1DCA"/>
    <w:rsid w:val="00D10504"/>
    <w:rsid w:val="00D579FC"/>
    <w:rsid w:val="00D60110"/>
    <w:rsid w:val="00DC092A"/>
    <w:rsid w:val="00DE526B"/>
    <w:rsid w:val="00DF199D"/>
    <w:rsid w:val="00E01542"/>
    <w:rsid w:val="00E365F1"/>
    <w:rsid w:val="00E379D8"/>
    <w:rsid w:val="00E62F48"/>
    <w:rsid w:val="00E831B3"/>
    <w:rsid w:val="00EE70CB"/>
    <w:rsid w:val="00F12B60"/>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699ABF"/>
  <w15:chartTrackingRefBased/>
  <w15:docId w15:val="{E9125236-64BF-4459-965A-1BE83CE3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34CF05A9A1734C8DA9B239B033908B9D"/>
        <w:category>
          <w:name w:val="General"/>
          <w:gallery w:val="placeholder"/>
        </w:category>
        <w:types>
          <w:type w:val="bbPlcHdr"/>
        </w:types>
        <w:behaviors>
          <w:behavior w:val="content"/>
        </w:behaviors>
        <w:guid w:val="{2EB55635-65F9-4399-8DD1-E80873210AB3}"/>
      </w:docPartPr>
      <w:docPartBody>
        <w:p w:rsidR="00541418" w:rsidRDefault="00541418"/>
      </w:docPartBody>
    </w:docPart>
    <w:docPart>
      <w:docPartPr>
        <w:name w:val="661873C8B44345199071978756A3B39D"/>
        <w:category>
          <w:name w:val="General"/>
          <w:gallery w:val="placeholder"/>
        </w:category>
        <w:types>
          <w:type w:val="bbPlcHdr"/>
        </w:types>
        <w:behaviors>
          <w:behavior w:val="content"/>
        </w:behaviors>
        <w:guid w:val="{5A216988-006B-40CF-B592-1110F806D99C}"/>
      </w:docPartPr>
      <w:docPartBody>
        <w:p w:rsidR="00541418" w:rsidRDefault="005414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541418"/>
    <w:rsid w:val="005C0F40"/>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2021-03-16T16:24:00Z</cp:lastPrinted>
  <dcterms:created xsi:type="dcterms:W3CDTF">2021-03-17T12:36:00Z</dcterms:created>
  <dcterms:modified xsi:type="dcterms:W3CDTF">2021-03-22T17:38:00Z</dcterms:modified>
</cp:coreProperties>
</file>